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C" w:rsidRDefault="00AE2DCC" w:rsidP="00EA7BC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EA7BC4" w:rsidRDefault="00EA7BC4" w:rsidP="00EA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C4" w:rsidRDefault="00EA7BC4" w:rsidP="00EA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культуре и спорту администрации</w:t>
      </w:r>
    </w:p>
    <w:p w:rsidR="00EA7BC4" w:rsidRDefault="00EA7BC4" w:rsidP="00EA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Липецка</w:t>
      </w:r>
    </w:p>
    <w:p w:rsidR="00AE2DCC" w:rsidRDefault="00EA7BC4" w:rsidP="00AE2DCC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4B32">
        <w:rPr>
          <w:rFonts w:ascii="Times New Roman" w:hAnsi="Times New Roman" w:cs="Times New Roman"/>
          <w:sz w:val="28"/>
        </w:rPr>
        <w:t xml:space="preserve">от </w:t>
      </w:r>
      <w:r w:rsidR="003D1BBA">
        <w:rPr>
          <w:rFonts w:ascii="Times New Roman" w:hAnsi="Times New Roman" w:cs="Times New Roman"/>
          <w:sz w:val="28"/>
        </w:rPr>
        <w:t xml:space="preserve"> 28.11.2018  №  399</w:t>
      </w:r>
    </w:p>
    <w:p w:rsidR="00EA7BC4" w:rsidRDefault="00EA7BC4" w:rsidP="009431AD">
      <w:pPr>
        <w:rPr>
          <w:rFonts w:ascii="Times New Roman" w:hAnsi="Times New Roman" w:cs="Times New Roman"/>
          <w:sz w:val="28"/>
          <w:szCs w:val="28"/>
        </w:rPr>
      </w:pPr>
    </w:p>
    <w:p w:rsidR="00EA7BC4" w:rsidRDefault="00EA7BC4" w:rsidP="00AE2DC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431AD" w:rsidRDefault="009431AD" w:rsidP="009431A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ПОЛОЖЕНИЕ об организации </w:t>
      </w:r>
      <w:r w:rsidRPr="00A32825">
        <w:rPr>
          <w:rFonts w:ascii="Times New Roman" w:hAnsi="Times New Roman" w:cs="Times New Roman"/>
          <w:caps/>
          <w:sz w:val="28"/>
          <w:szCs w:val="28"/>
        </w:rPr>
        <w:t xml:space="preserve">в департаменте </w:t>
      </w:r>
      <w:proofErr w:type="gramStart"/>
      <w:r w:rsidRPr="00A32825">
        <w:rPr>
          <w:rFonts w:ascii="Times New Roman" w:hAnsi="Times New Roman" w:cs="Times New Roman"/>
          <w:caps/>
          <w:sz w:val="28"/>
          <w:szCs w:val="28"/>
        </w:rPr>
        <w:t>по</w:t>
      </w:r>
      <w:proofErr w:type="gramEnd"/>
      <w:r w:rsidRPr="00A3282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431AD" w:rsidRPr="00A32825" w:rsidRDefault="009431AD" w:rsidP="009431A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2825">
        <w:rPr>
          <w:rFonts w:ascii="Times New Roman" w:hAnsi="Times New Roman" w:cs="Times New Roman"/>
          <w:caps/>
          <w:sz w:val="28"/>
          <w:szCs w:val="28"/>
        </w:rPr>
        <w:t xml:space="preserve">физической культуре и спорту </w:t>
      </w:r>
    </w:p>
    <w:p w:rsidR="00AE2DCC" w:rsidRPr="009431AD" w:rsidRDefault="009431AD" w:rsidP="009431AD">
      <w:pPr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A32825">
        <w:rPr>
          <w:rFonts w:ascii="Times New Roman" w:hAnsi="Times New Roman" w:cs="Times New Roman"/>
          <w:caps/>
          <w:sz w:val="28"/>
          <w:szCs w:val="28"/>
        </w:rPr>
        <w:t>администрации  города Липецка</w:t>
      </w:r>
    </w:p>
    <w:p w:rsidR="00AE2DCC" w:rsidRDefault="00AE2DCC" w:rsidP="00AE2DC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2825">
        <w:rPr>
          <w:rFonts w:ascii="Times New Roman" w:hAnsi="Times New Roman" w:cs="Times New Roman"/>
          <w:caps/>
          <w:sz w:val="28"/>
          <w:szCs w:val="28"/>
        </w:rPr>
        <w:t xml:space="preserve">внутреннего финансового контроля </w:t>
      </w:r>
    </w:p>
    <w:p w:rsidR="00A55581" w:rsidRPr="00A32825" w:rsidRDefault="00A55581" w:rsidP="00AE2D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31AD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32"/>
          <w:szCs w:val="32"/>
        </w:rPr>
        <w:t xml:space="preserve">        </w:t>
      </w:r>
      <w:r w:rsidR="009431AD" w:rsidRPr="00A55581">
        <w:rPr>
          <w:rStyle w:val="fontstyle01"/>
          <w:sz w:val="28"/>
          <w:szCs w:val="28"/>
        </w:rPr>
        <w:t xml:space="preserve">1. Организацию внутреннего финансового контроля в департаменте </w:t>
      </w:r>
      <w:r w:rsidR="009431AD" w:rsidRPr="00A55581">
        <w:rPr>
          <w:rFonts w:ascii="Times New Roman" w:hAnsi="Times New Roman" w:cs="Times New Roman"/>
          <w:sz w:val="28"/>
          <w:szCs w:val="28"/>
        </w:rPr>
        <w:t>по физической культура и спорту администрации города Липецка (далее – Департамент)</w:t>
      </w:r>
      <w:r w:rsidR="009431AD" w:rsidRPr="00A55581">
        <w:rPr>
          <w:rStyle w:val="fontstyle01"/>
          <w:sz w:val="28"/>
          <w:szCs w:val="28"/>
        </w:rPr>
        <w:t xml:space="preserve"> обеспечивает председатель </w:t>
      </w:r>
      <w:r w:rsidR="00450C97" w:rsidRPr="00A55581">
        <w:rPr>
          <w:rStyle w:val="fontstyle01"/>
          <w:sz w:val="28"/>
          <w:szCs w:val="28"/>
        </w:rPr>
        <w:t>Департамент</w:t>
      </w:r>
      <w:r w:rsidR="00450C97" w:rsidRPr="00A55581">
        <w:rPr>
          <w:rStyle w:val="fontstyle01"/>
          <w:rFonts w:hint="eastAsia"/>
          <w:sz w:val="28"/>
          <w:szCs w:val="28"/>
        </w:rPr>
        <w:t>а</w:t>
      </w:r>
      <w:r w:rsidR="009431AD" w:rsidRPr="00A55581">
        <w:rPr>
          <w:rStyle w:val="fontstyle01"/>
          <w:sz w:val="28"/>
          <w:szCs w:val="28"/>
        </w:rPr>
        <w:t>.</w:t>
      </w:r>
      <w:r w:rsidR="009431AD" w:rsidRPr="00A55581">
        <w:rPr>
          <w:rFonts w:ascii="TimesNewRomanPSMT" w:hAnsi="TimesNewRomanPSMT"/>
          <w:color w:val="000000"/>
          <w:sz w:val="28"/>
          <w:szCs w:val="28"/>
        </w:rPr>
        <w:br/>
      </w:r>
      <w:r w:rsidRPr="00A55581">
        <w:rPr>
          <w:rStyle w:val="fontstyle01"/>
          <w:sz w:val="28"/>
          <w:szCs w:val="28"/>
        </w:rPr>
        <w:t xml:space="preserve">        </w:t>
      </w:r>
      <w:r w:rsidR="009431AD" w:rsidRPr="00A55581">
        <w:rPr>
          <w:rStyle w:val="fontstyle01"/>
          <w:sz w:val="28"/>
          <w:szCs w:val="28"/>
        </w:rPr>
        <w:t>2. Внутренний финансовый контроль осуществляется путем самоконтроля,</w:t>
      </w:r>
      <w:r w:rsidR="009431AD"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31AD" w:rsidRPr="00A55581">
        <w:rPr>
          <w:rStyle w:val="fontstyle01"/>
          <w:sz w:val="28"/>
          <w:szCs w:val="28"/>
        </w:rPr>
        <w:t>контроля по уровню подчиненности, контроля по подведомственности.</w:t>
      </w:r>
    </w:p>
    <w:p w:rsidR="00A55581" w:rsidRPr="00A55581" w:rsidRDefault="00A55581" w:rsidP="009431AD">
      <w:pPr>
        <w:tabs>
          <w:tab w:val="left" w:pos="1134"/>
        </w:tabs>
        <w:jc w:val="both"/>
        <w:rPr>
          <w:rStyle w:val="fontstyle01"/>
          <w:sz w:val="28"/>
          <w:szCs w:val="28"/>
        </w:rPr>
      </w:pPr>
      <w:r w:rsidRPr="00A55581">
        <w:rPr>
          <w:rStyle w:val="fontstyle01"/>
          <w:sz w:val="28"/>
          <w:szCs w:val="28"/>
        </w:rPr>
        <w:t xml:space="preserve">        </w:t>
      </w:r>
      <w:r w:rsidR="009431AD" w:rsidRPr="00A55581">
        <w:rPr>
          <w:rStyle w:val="fontstyle01"/>
          <w:sz w:val="28"/>
          <w:szCs w:val="28"/>
        </w:rPr>
        <w:t>3. При организации внутреннего финансового контроля в Департаменте осуществляется:</w:t>
      </w:r>
      <w:r w:rsidRPr="00A55581">
        <w:rPr>
          <w:rStyle w:val="fontstyle01"/>
          <w:sz w:val="28"/>
          <w:szCs w:val="28"/>
        </w:rPr>
        <w:t xml:space="preserve"> </w:t>
      </w:r>
    </w:p>
    <w:p w:rsidR="001C2588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Style w:val="fontstyle01"/>
          <w:sz w:val="28"/>
          <w:szCs w:val="28"/>
        </w:rPr>
        <w:t xml:space="preserve">        </w:t>
      </w:r>
      <w:r w:rsidR="001C2588" w:rsidRPr="00A55581">
        <w:rPr>
          <w:rStyle w:val="fontstyle01"/>
          <w:sz w:val="28"/>
          <w:szCs w:val="28"/>
        </w:rPr>
        <w:t xml:space="preserve">- </w:t>
      </w:r>
      <w:r w:rsidR="009431AD" w:rsidRPr="00A55581">
        <w:rPr>
          <w:rStyle w:val="fontstyle01"/>
          <w:sz w:val="28"/>
          <w:szCs w:val="28"/>
        </w:rPr>
        <w:t>формирование, утверждение и актуализация карт внутреннего финансового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C2588" w:rsidRPr="00A55581">
        <w:rPr>
          <w:rStyle w:val="fontstyle01"/>
          <w:sz w:val="28"/>
          <w:szCs w:val="28"/>
        </w:rPr>
        <w:t>контроля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>;</w:t>
      </w:r>
    </w:p>
    <w:p w:rsidR="001C2588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9431AD" w:rsidRPr="00A55581">
        <w:rPr>
          <w:rStyle w:val="fontstyle01"/>
          <w:sz w:val="28"/>
          <w:szCs w:val="28"/>
        </w:rPr>
        <w:t>ведение, учет и хранение журналов учета результатов внутреннего финансового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31AD" w:rsidRPr="00A55581">
        <w:rPr>
          <w:rStyle w:val="fontstyle01"/>
          <w:sz w:val="28"/>
          <w:szCs w:val="28"/>
        </w:rPr>
        <w:t>контроля;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A55581" w:rsidRDefault="00A55581" w:rsidP="009431AD">
      <w:pPr>
        <w:tabs>
          <w:tab w:val="left" w:pos="1134"/>
        </w:tabs>
        <w:jc w:val="both"/>
        <w:rPr>
          <w:rStyle w:val="fontstyle01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1C2588" w:rsidRPr="00A5558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9431AD" w:rsidRPr="00A55581">
        <w:rPr>
          <w:rStyle w:val="fontstyle01"/>
          <w:sz w:val="28"/>
          <w:szCs w:val="28"/>
        </w:rPr>
        <w:t>составление отчетности по результатам осуществленного внутреннего</w:t>
      </w:r>
      <w:r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431AD" w:rsidRPr="00A55581">
        <w:rPr>
          <w:rStyle w:val="fontstyle01"/>
          <w:sz w:val="28"/>
          <w:szCs w:val="28"/>
        </w:rPr>
        <w:t>финансового контроля по форме и в сроки, установленные</w:t>
      </w:r>
      <w:r>
        <w:rPr>
          <w:rStyle w:val="fontstyle01"/>
          <w:sz w:val="28"/>
          <w:szCs w:val="28"/>
        </w:rPr>
        <w:t xml:space="preserve"> департаментом финансов администрации города Липецка.</w:t>
      </w:r>
    </w:p>
    <w:p w:rsidR="006B79D2" w:rsidRPr="006B79D2" w:rsidRDefault="006B79D2" w:rsidP="009431AD">
      <w:pPr>
        <w:tabs>
          <w:tab w:val="left" w:pos="1134"/>
        </w:tabs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3.1. </w:t>
      </w:r>
      <w:r w:rsidRPr="006B79D2">
        <w:rPr>
          <w:rFonts w:ascii="TimesNewRomanPSMT" w:hAnsi="TimesNewRomanPSMT"/>
          <w:color w:val="000000"/>
          <w:sz w:val="28"/>
          <w:szCs w:val="28"/>
        </w:rPr>
        <w:t>Внутренний финансовый контроль осуществляется в отношении бюджетных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79D2">
        <w:rPr>
          <w:rFonts w:ascii="TimesNewRomanPSMT" w:hAnsi="TimesNewRomanPSMT"/>
          <w:color w:val="000000"/>
          <w:sz w:val="28"/>
          <w:szCs w:val="28"/>
        </w:rPr>
        <w:t>процедур, определенных Перечнем операций (далее - Перечень) по форме согласно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79D2">
        <w:rPr>
          <w:rFonts w:ascii="TimesNewRomanPSMT" w:hAnsi="TimesNewRomanPSMT"/>
          <w:color w:val="000000"/>
          <w:sz w:val="28"/>
          <w:szCs w:val="28"/>
        </w:rPr>
        <w:t>Приложению 1 к настоящему Положению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3.2. При составлении Перечня оцениваются бюджетные риски, связанные с проведением, указанных в Перечне, операций в целях их включения в Карту внутреннего финансового контроля по форме согласно Приложению 2 к настоящему Приложению, определения применяемых к ним контрольных действий.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3.3. Оценка бюджетных рисков состоит в идентификации рисков по каждой указанной в Перечне операции и определении уровня риска. 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3.4. </w:t>
      </w:r>
      <w:proofErr w:type="gramStart"/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Каждый бюджетный риск оценивается по критерию "вероятность", характеризующему ожидание наступления события, негативно влияющего на выполнение внутренних бюджетных процедур, и критерию "последствия", характеризующему размер возможного наносимого ущерба, потери репутации </w:t>
      </w:r>
      <w:r w:rsidR="006B79D2">
        <w:rPr>
          <w:rFonts w:ascii="TimesNewRomanPSMT" w:hAnsi="TimesNewRomanPSMT"/>
          <w:color w:val="000000"/>
          <w:sz w:val="28"/>
          <w:szCs w:val="28"/>
        </w:rPr>
        <w:t>Департамента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, существенность налагаемых санкций за допущенное нарушение бюджетного законодательства, снижение показателя результативности (экономности) использования бюджетных средств.</w:t>
      </w:r>
      <w:proofErr w:type="gramEnd"/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 По каждому критерию определяется шкала уровней вероятности (последствий) риска: </w:t>
      </w:r>
    </w:p>
    <w:p w:rsidR="00A373F5" w:rsidRPr="00A55581" w:rsidRDefault="00A373F5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ab/>
        <w:t xml:space="preserve">уровень по критерию «вероятность» - от 0 до 20%, от 20 до 40%, от 40 </w:t>
      </w:r>
      <w:proofErr w:type="gramStart"/>
      <w:r w:rsidRPr="00A55581"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 w:rsidRPr="00A55581">
        <w:rPr>
          <w:rFonts w:ascii="TimesNewRomanPSMT" w:hAnsi="TimesNewRomanPSMT"/>
          <w:color w:val="000000"/>
          <w:sz w:val="28"/>
          <w:szCs w:val="28"/>
        </w:rPr>
        <w:t xml:space="preserve"> 60%, от 60 до 80%, от 80 до 100%; </w:t>
      </w:r>
    </w:p>
    <w:p w:rsidR="00A373F5" w:rsidRPr="00A55581" w:rsidRDefault="00A373F5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lastRenderedPageBreak/>
        <w:tab/>
        <w:t xml:space="preserve">уровень по критерию "последствия" - низкий, умеренный, средний высокий, очень высокий. 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3.5. Операции с уровнем риска "</w:t>
      </w:r>
      <w:proofErr w:type="gramStart"/>
      <w:r w:rsidR="00A373F5" w:rsidRPr="00A55581">
        <w:rPr>
          <w:rFonts w:ascii="TimesNewRomanPSMT" w:hAnsi="TimesNewRomanPSMT"/>
          <w:color w:val="000000"/>
          <w:sz w:val="28"/>
          <w:szCs w:val="28"/>
        </w:rPr>
        <w:t>средний</w:t>
      </w:r>
      <w:proofErr w:type="gramEnd"/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", "высокий", "очень высокий" включаются в Карту внутреннего финансового контроля. </w:t>
      </w:r>
    </w:p>
    <w:p w:rsidR="00A373F5" w:rsidRPr="00A55581" w:rsidRDefault="00A55581" w:rsidP="009431AD">
      <w:pPr>
        <w:tabs>
          <w:tab w:val="left" w:pos="1134"/>
        </w:tabs>
        <w:jc w:val="both"/>
        <w:rPr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3.6. Карта внутреннего финансового контроля на очередной финансовый год формируется ежегодно до 1 декабря предшествующего года.</w:t>
      </w:r>
      <w:r w:rsidR="00A373F5" w:rsidRPr="00A55581">
        <w:rPr>
          <w:sz w:val="28"/>
          <w:szCs w:val="28"/>
        </w:rPr>
        <w:t xml:space="preserve"> 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3.7. Утверждение Карт внутреннего финансового контроля осуществляется председателем департамента.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3.8. Уточнение карт внутреннего финансового контроля проводится: при принятии решения председателем департамента о внесении изменений в карты внутреннего финансового контроля; 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процедур.</w:t>
      </w:r>
    </w:p>
    <w:p w:rsidR="006B79D2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3.9. Журнал учета результатов внутреннего финансового контроля составляется по форме согласно Приложению 3 к настоящему Положению. </w:t>
      </w:r>
    </w:p>
    <w:p w:rsidR="00A373F5" w:rsidRPr="00A55581" w:rsidRDefault="006B79D2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 xml:space="preserve">3.10. Ведение, учет и хранение Журналов результатов внутреннего финансового контроля осуществляется каждым подразделением, ответственным за выполнение внутренних бюджетных процедур. </w:t>
      </w:r>
    </w:p>
    <w:p w:rsidR="00A373F5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3.11. Записи в журналы учета результатов внутреннего финансового контроля осуществляются по мере совершения контрольных действий в хронологическом порядке.</w:t>
      </w:r>
    </w:p>
    <w:p w:rsidR="00C23CEB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3.12. Журналы учета результатов внутреннего финансового контроля</w:t>
      </w:r>
      <w:r w:rsidR="00C23CEB" w:rsidRPr="00A555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373F5" w:rsidRPr="00A55581">
        <w:rPr>
          <w:rFonts w:ascii="TimesNewRomanPSMT" w:hAnsi="TimesNewRomanPSMT"/>
          <w:color w:val="000000"/>
          <w:sz w:val="28"/>
          <w:szCs w:val="28"/>
        </w:rPr>
        <w:t>формируются и брошюруются в хронологическом порядке. На обложке необходимо указать: наименование подразделения, ответственного за выполнение внутренни</w:t>
      </w:r>
      <w:r w:rsidR="00C23CEB" w:rsidRPr="00A55581">
        <w:rPr>
          <w:rFonts w:ascii="TimesNewRomanPSMT" w:hAnsi="TimesNewRomanPSMT"/>
          <w:color w:val="000000"/>
          <w:sz w:val="28"/>
          <w:szCs w:val="28"/>
        </w:rPr>
        <w:t>х</w:t>
      </w:r>
      <w:r w:rsidR="00C23CEB" w:rsidRPr="00A55581">
        <w:rPr>
          <w:sz w:val="28"/>
          <w:szCs w:val="28"/>
        </w:rPr>
        <w:t xml:space="preserve"> </w:t>
      </w:r>
      <w:r w:rsidR="00C23CEB" w:rsidRPr="00A55581">
        <w:rPr>
          <w:rFonts w:ascii="TimesNewRomanPSMT" w:hAnsi="TimesNewRomanPSMT"/>
          <w:color w:val="000000"/>
          <w:sz w:val="28"/>
          <w:szCs w:val="28"/>
        </w:rPr>
        <w:t>бюджетных процедур, отчетный период: год квартал (месяц); количество листов в папке (деле).</w:t>
      </w:r>
    </w:p>
    <w:p w:rsidR="00C23CEB" w:rsidRPr="00A55581" w:rsidRDefault="00A55581" w:rsidP="009431AD">
      <w:pPr>
        <w:tabs>
          <w:tab w:val="left" w:pos="1134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C23CEB" w:rsidRPr="00A55581">
        <w:rPr>
          <w:rFonts w:ascii="TimesNewRomanPSMT" w:hAnsi="TimesNewRomanPSMT"/>
          <w:color w:val="000000"/>
          <w:sz w:val="28"/>
          <w:szCs w:val="28"/>
        </w:rPr>
        <w:t>3.13. Хранение Журналов учета результатов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9431AD" w:rsidRPr="00A55581" w:rsidRDefault="00A55581" w:rsidP="009431A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5581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C23CEB" w:rsidRPr="00A55581">
        <w:rPr>
          <w:rFonts w:ascii="TimesNewRomanPSMT" w:hAnsi="TimesNewRomanPSMT"/>
          <w:color w:val="000000"/>
          <w:sz w:val="28"/>
          <w:szCs w:val="28"/>
        </w:rPr>
        <w:t>3.14. Соблюдение требований к хранению Журналов учета результатов внутреннего финансового контроля осуществляется лицами, ответственными за их формирование, до момента их сдачи в архив.</w:t>
      </w:r>
    </w:p>
    <w:p w:rsidR="009431AD" w:rsidRPr="00A55581" w:rsidRDefault="009431AD" w:rsidP="009431A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31AD" w:rsidRPr="00A55581" w:rsidRDefault="009431AD" w:rsidP="009431A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DCC" w:rsidRDefault="00AE2DCC" w:rsidP="00AE2DCC">
      <w:pPr>
        <w:sectPr w:rsidR="00AE2DCC">
          <w:pgSz w:w="11906" w:h="16838"/>
          <w:pgMar w:top="851" w:right="851" w:bottom="851" w:left="1134" w:header="720" w:footer="720" w:gutter="0"/>
          <w:cols w:space="720"/>
        </w:sectPr>
      </w:pPr>
    </w:p>
    <w:p w:rsidR="00AE2DCC" w:rsidRDefault="00AE2DCC" w:rsidP="009B43CF">
      <w:pPr>
        <w:rPr>
          <w:rFonts w:ascii="Times New Roman" w:hAnsi="Times New Roman" w:cs="Times New Roman"/>
          <w:sz w:val="28"/>
          <w:szCs w:val="28"/>
        </w:rPr>
      </w:pPr>
    </w:p>
    <w:p w:rsidR="00AE2DCC" w:rsidRDefault="004F55DD" w:rsidP="00AE2DCC">
      <w:pPr>
        <w:sectPr w:rsidR="00AE2DCC">
          <w:pgSz w:w="16838" w:h="11906" w:orient="landscape"/>
          <w:pgMar w:top="1134" w:right="851" w:bottom="851" w:left="851" w:header="720" w:footer="720" w:gutter="0"/>
          <w:cols w:space="720"/>
        </w:sectPr>
      </w:pPr>
      <w:bookmarkStart w:id="0" w:name="Par300"/>
      <w:bookmarkEnd w:id="0"/>
      <w:r>
        <w:t xml:space="preserve">   </w:t>
      </w:r>
    </w:p>
    <w:p w:rsidR="006B79D2" w:rsidRDefault="006B79D2" w:rsidP="006B79D2">
      <w:pPr>
        <w:widowControl w:val="0"/>
        <w:autoSpaceDE w:val="0"/>
        <w:autoSpaceDN w:val="0"/>
        <w:adjustRightInd w:val="0"/>
        <w:ind w:left="8355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 к положению об</w:t>
      </w:r>
      <w:r w:rsidRPr="006B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B79D2" w:rsidRDefault="006B79D2" w:rsidP="006B79D2">
      <w:pPr>
        <w:widowControl w:val="0"/>
        <w:autoSpaceDE w:val="0"/>
        <w:autoSpaceDN w:val="0"/>
        <w:adjustRightInd w:val="0"/>
        <w:ind w:left="6939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 департаменте по физической культуре и спорту</w:t>
      </w:r>
    </w:p>
    <w:p w:rsidR="006B79D2" w:rsidRPr="006B79D2" w:rsidRDefault="006B79D2" w:rsidP="00710B68">
      <w:pPr>
        <w:widowControl w:val="0"/>
        <w:autoSpaceDE w:val="0"/>
        <w:autoSpaceDN w:val="0"/>
        <w:adjustRightInd w:val="0"/>
        <w:ind w:left="84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Липецка</w:t>
      </w:r>
      <w:r w:rsidR="00710B68">
        <w:rPr>
          <w:rFonts w:ascii="Times New Roman" w:hAnsi="Times New Roman" w:cs="Times New Roman"/>
          <w:bCs/>
          <w:sz w:val="28"/>
          <w:szCs w:val="28"/>
        </w:rPr>
        <w:t xml:space="preserve"> внутреннего  финансового контроля</w:t>
      </w:r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9D2" w:rsidRPr="006B79D2" w:rsidRDefault="006B79D2" w:rsidP="00710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D2">
        <w:rPr>
          <w:rFonts w:ascii="Times New Roman" w:hAnsi="Times New Roman" w:cs="Times New Roman"/>
          <w:bCs/>
          <w:sz w:val="28"/>
          <w:szCs w:val="28"/>
        </w:rPr>
        <w:t>Перечень операций</w:t>
      </w:r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79D2">
        <w:rPr>
          <w:rFonts w:ascii="Times New Roman" w:hAnsi="Times New Roman" w:cs="Times New Roman"/>
          <w:bCs/>
          <w:sz w:val="28"/>
          <w:szCs w:val="28"/>
        </w:rPr>
        <w:t>(действий по формированию документов, необходимых</w:t>
      </w:r>
      <w:proofErr w:type="gramEnd"/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D2">
        <w:rPr>
          <w:rFonts w:ascii="Times New Roman" w:hAnsi="Times New Roman" w:cs="Times New Roman"/>
          <w:bCs/>
          <w:sz w:val="28"/>
          <w:szCs w:val="28"/>
        </w:rPr>
        <w:t xml:space="preserve">для выполнения внутренней бюджетной процедуры) </w:t>
      </w:r>
      <w:r w:rsidR="00710B68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6B79D2" w:rsidRPr="006B79D2" w:rsidRDefault="006B79D2" w:rsidP="006B79D2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9D2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710B68">
        <w:rPr>
          <w:rFonts w:ascii="Times New Roman" w:hAnsi="Times New Roman" w:cs="Times New Roman"/>
          <w:bCs/>
          <w:sz w:val="28"/>
          <w:szCs w:val="28"/>
        </w:rPr>
        <w:t>__________20______</w:t>
      </w:r>
      <w:r w:rsidRPr="006B79D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900"/>
        <w:gridCol w:w="1800"/>
        <w:gridCol w:w="2340"/>
      </w:tblGrid>
      <w:tr w:rsidR="006B79D2" w:rsidRPr="006B79D2" w:rsidTr="00B2506A">
        <w:tc>
          <w:tcPr>
            <w:tcW w:w="9900" w:type="dxa"/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6B79D2" w:rsidRPr="006B79D2" w:rsidTr="00B2506A">
        <w:tc>
          <w:tcPr>
            <w:tcW w:w="9900" w:type="dxa"/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79D2" w:rsidRPr="006B79D2" w:rsidTr="00B2506A">
        <w:trPr>
          <w:trHeight w:val="470"/>
        </w:trPr>
        <w:tc>
          <w:tcPr>
            <w:tcW w:w="9900" w:type="dxa"/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B79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Наименование главного администратора бюджетных средств:</w:t>
            </w:r>
          </w:p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</w:rPr>
              <w:t xml:space="preserve"> Код ОКПО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79D2" w:rsidRPr="006B79D2" w:rsidTr="00B2506A">
        <w:tc>
          <w:tcPr>
            <w:tcW w:w="9900" w:type="dxa"/>
          </w:tcPr>
          <w:p w:rsidR="006B79D2" w:rsidRPr="006B79D2" w:rsidRDefault="006B79D2" w:rsidP="00710B6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бюджета:</w:t>
            </w:r>
            <w:r w:rsidRPr="006B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Глава  по БК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79D2" w:rsidRPr="006B79D2" w:rsidTr="00B2506A">
        <w:tc>
          <w:tcPr>
            <w:tcW w:w="9900" w:type="dxa"/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структурных подразделений,</w:t>
            </w:r>
          </w:p>
          <w:p w:rsidR="006B79D2" w:rsidRPr="00710B68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ответственных за выполнение</w:t>
            </w:r>
            <w:r w:rsidR="0071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внутренних бюджетных процедур: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  <w:p w:rsidR="006B79D2" w:rsidRPr="006B79D2" w:rsidRDefault="006B79D2" w:rsidP="00B25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Код ОКТМО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D2" w:rsidRPr="006B79D2" w:rsidRDefault="006B79D2" w:rsidP="00710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79D2" w:rsidRPr="00AF36B8" w:rsidRDefault="00710B68" w:rsidP="00AF36B8">
      <w:pPr>
        <w:pStyle w:val="a3"/>
        <w:numPr>
          <w:ilvl w:val="0"/>
          <w:numId w:val="13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36B8">
        <w:rPr>
          <w:rFonts w:ascii="Times New Roman" w:hAnsi="Times New Roman" w:cs="Times New Roman"/>
          <w:bCs/>
          <w:sz w:val="28"/>
          <w:szCs w:val="28"/>
          <w:u w:val="single"/>
        </w:rPr>
        <w:t>Наименование внутренней бюджетной процедуры</w:t>
      </w:r>
      <w:r w:rsidR="00AF36B8" w:rsidRPr="00AF36B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10B68" w:rsidRPr="00710B68" w:rsidRDefault="00710B68" w:rsidP="00710B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4788"/>
        <w:gridCol w:w="1980"/>
        <w:gridCol w:w="1260"/>
        <w:gridCol w:w="900"/>
        <w:gridCol w:w="1800"/>
      </w:tblGrid>
      <w:tr w:rsidR="006B79D2" w:rsidRPr="006B79D2" w:rsidTr="00B2506A">
        <w:trPr>
          <w:trHeight w:val="360"/>
        </w:trPr>
        <w:tc>
          <w:tcPr>
            <w:tcW w:w="4032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</w:t>
            </w:r>
          </w:p>
        </w:tc>
        <w:tc>
          <w:tcPr>
            <w:tcW w:w="4788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Операция</w:t>
            </w:r>
          </w:p>
        </w:tc>
        <w:tc>
          <w:tcPr>
            <w:tcW w:w="1980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260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рисков</w:t>
            </w:r>
          </w:p>
        </w:tc>
        <w:tc>
          <w:tcPr>
            <w:tcW w:w="900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Включить в карту ВФК</w:t>
            </w:r>
          </w:p>
        </w:tc>
        <w:tc>
          <w:tcPr>
            <w:tcW w:w="1800" w:type="dxa"/>
          </w:tcPr>
          <w:p w:rsidR="006B79D2" w:rsidRPr="00710B68" w:rsidRDefault="006B79D2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Метод контроля</w:t>
            </w:r>
          </w:p>
        </w:tc>
      </w:tr>
      <w:tr w:rsidR="00AF36B8" w:rsidRPr="006B79D2" w:rsidTr="00B2506A">
        <w:trPr>
          <w:trHeight w:val="730"/>
        </w:trPr>
        <w:tc>
          <w:tcPr>
            <w:tcW w:w="4032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AF36B8" w:rsidRPr="006B79D2" w:rsidRDefault="00AF36B8" w:rsidP="00710B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AF36B8" w:rsidRPr="006B79D2" w:rsidRDefault="00AF36B8" w:rsidP="00710B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F36B8" w:rsidRPr="006B79D2" w:rsidRDefault="00AF36B8" w:rsidP="00710B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36B8" w:rsidRPr="00AF36B8" w:rsidRDefault="00AF36B8" w:rsidP="00AF36B8">
      <w:pPr>
        <w:pStyle w:val="a3"/>
        <w:numPr>
          <w:ilvl w:val="0"/>
          <w:numId w:val="13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36B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Наименование внутренней бюджетной процедуры.</w:t>
      </w:r>
    </w:p>
    <w:p w:rsidR="00AF36B8" w:rsidRPr="00710B68" w:rsidRDefault="00AF36B8" w:rsidP="00AF36B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4788"/>
        <w:gridCol w:w="1980"/>
        <w:gridCol w:w="1260"/>
        <w:gridCol w:w="900"/>
        <w:gridCol w:w="1800"/>
      </w:tblGrid>
      <w:tr w:rsidR="00AF36B8" w:rsidRPr="006B79D2" w:rsidTr="00B2506A">
        <w:trPr>
          <w:trHeight w:val="360"/>
        </w:trPr>
        <w:tc>
          <w:tcPr>
            <w:tcW w:w="4032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</w:t>
            </w:r>
          </w:p>
        </w:tc>
        <w:tc>
          <w:tcPr>
            <w:tcW w:w="4788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Операция</w:t>
            </w:r>
          </w:p>
        </w:tc>
        <w:tc>
          <w:tcPr>
            <w:tcW w:w="1980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260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рисков</w:t>
            </w:r>
          </w:p>
        </w:tc>
        <w:tc>
          <w:tcPr>
            <w:tcW w:w="900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Включить в карту ВФК</w:t>
            </w:r>
          </w:p>
        </w:tc>
        <w:tc>
          <w:tcPr>
            <w:tcW w:w="1800" w:type="dxa"/>
          </w:tcPr>
          <w:p w:rsidR="00AF36B8" w:rsidRPr="00710B68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68">
              <w:rPr>
                <w:rFonts w:ascii="Times New Roman" w:hAnsi="Times New Roman" w:cs="Times New Roman"/>
                <w:bCs/>
                <w:sz w:val="28"/>
                <w:szCs w:val="28"/>
              </w:rPr>
              <w:t>Метод контроля</w:t>
            </w:r>
          </w:p>
        </w:tc>
      </w:tr>
      <w:tr w:rsidR="00AF36B8" w:rsidRPr="006B79D2" w:rsidTr="00B2506A">
        <w:trPr>
          <w:trHeight w:val="730"/>
        </w:trPr>
        <w:tc>
          <w:tcPr>
            <w:tcW w:w="4032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F36B8" w:rsidRPr="006B79D2" w:rsidRDefault="00AF36B8" w:rsidP="00B250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79D2" w:rsidRPr="00AF36B8" w:rsidRDefault="006B79D2" w:rsidP="00AF36B8">
      <w:pPr>
        <w:rPr>
          <w:rFonts w:ascii="Times New Roman" w:hAnsi="Times New Roman" w:cs="Times New Roman"/>
          <w:sz w:val="28"/>
          <w:szCs w:val="28"/>
        </w:rPr>
      </w:pPr>
    </w:p>
    <w:p w:rsidR="006B79D2" w:rsidRP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AF36B8" w:rsidP="004F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ресурсного обеспечения   ____________________       ________________________</w:t>
      </w:r>
    </w:p>
    <w:p w:rsidR="006B79D2" w:rsidRPr="00AF36B8" w:rsidRDefault="00AF36B8" w:rsidP="004F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36B8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6B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B79D2" w:rsidRPr="00AF36B8" w:rsidRDefault="006B79D2" w:rsidP="004F55DD">
      <w:pPr>
        <w:rPr>
          <w:rFonts w:ascii="Times New Roman" w:hAnsi="Times New Roman" w:cs="Times New Roman"/>
          <w:sz w:val="24"/>
          <w:szCs w:val="24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AF36B8" w:rsidP="004F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B911A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20____ год.</w:t>
      </w: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B2506A" w:rsidRDefault="00B2506A" w:rsidP="004F55DD">
      <w:pPr>
        <w:rPr>
          <w:rFonts w:ascii="Times New Roman" w:hAnsi="Times New Roman" w:cs="Times New Roman"/>
          <w:sz w:val="28"/>
          <w:szCs w:val="28"/>
        </w:rPr>
      </w:pPr>
    </w:p>
    <w:p w:rsidR="00B911A4" w:rsidRDefault="00B911A4" w:rsidP="00B911A4">
      <w:pPr>
        <w:widowControl w:val="0"/>
        <w:autoSpaceDE w:val="0"/>
        <w:autoSpaceDN w:val="0"/>
        <w:adjustRightInd w:val="0"/>
        <w:ind w:left="8355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 к положению об</w:t>
      </w:r>
      <w:r w:rsidRPr="006B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B911A4" w:rsidRDefault="00B911A4" w:rsidP="00B911A4">
      <w:pPr>
        <w:widowControl w:val="0"/>
        <w:autoSpaceDE w:val="0"/>
        <w:autoSpaceDN w:val="0"/>
        <w:adjustRightInd w:val="0"/>
        <w:ind w:left="6939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 департаменте по физической культуре и спорту</w:t>
      </w:r>
    </w:p>
    <w:p w:rsidR="00B911A4" w:rsidRPr="006B79D2" w:rsidRDefault="00B911A4" w:rsidP="00B911A4">
      <w:pPr>
        <w:widowControl w:val="0"/>
        <w:autoSpaceDE w:val="0"/>
        <w:autoSpaceDN w:val="0"/>
        <w:adjustRightInd w:val="0"/>
        <w:ind w:left="84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Липецка внутреннего  финансового контроля</w:t>
      </w:r>
    </w:p>
    <w:p w:rsidR="006B79D2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1486"/>
        <w:gridCol w:w="2834"/>
        <w:gridCol w:w="900"/>
        <w:gridCol w:w="1800"/>
        <w:gridCol w:w="540"/>
        <w:gridCol w:w="1706"/>
        <w:gridCol w:w="1031"/>
        <w:gridCol w:w="1943"/>
        <w:gridCol w:w="1260"/>
        <w:gridCol w:w="1368"/>
      </w:tblGrid>
      <w:tr w:rsidR="00B911A4" w:rsidRPr="00B911A4" w:rsidTr="00B2506A">
        <w:trPr>
          <w:trHeight w:val="255"/>
        </w:trPr>
        <w:tc>
          <w:tcPr>
            <w:tcW w:w="148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ВНУТРЕННЕГО ФИНАНСОВОГО КОНТРОЛЯ</w:t>
            </w:r>
          </w:p>
        </w:tc>
      </w:tr>
      <w:tr w:rsidR="00B911A4" w:rsidRPr="00B911A4" w:rsidTr="00B2506A">
        <w:trPr>
          <w:trHeight w:val="255"/>
        </w:trPr>
        <w:tc>
          <w:tcPr>
            <w:tcW w:w="148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B911A4" w:rsidRPr="00B911A4" w:rsidRDefault="00B911A4" w:rsidP="00225C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225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  <w:r w:rsidRPr="00B9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11A4" w:rsidRPr="00B911A4" w:rsidTr="00B2506A">
        <w:trPr>
          <w:trHeight w:val="255"/>
        </w:trPr>
        <w:tc>
          <w:tcPr>
            <w:tcW w:w="148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1A4" w:rsidRPr="00B911A4" w:rsidTr="00B2506A">
        <w:trPr>
          <w:trHeight w:val="255"/>
        </w:trPr>
        <w:tc>
          <w:tcPr>
            <w:tcW w:w="148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Коды</w:t>
            </w:r>
          </w:p>
        </w:tc>
      </w:tr>
      <w:tr w:rsidR="00B911A4" w:rsidRPr="00B911A4" w:rsidTr="00B2506A">
        <w:trPr>
          <w:trHeight w:val="255"/>
        </w:trPr>
        <w:tc>
          <w:tcPr>
            <w:tcW w:w="1486" w:type="dxa"/>
            <w:noWrap/>
          </w:tcPr>
          <w:p w:rsid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2" w:rsidRPr="00B911A4" w:rsidRDefault="00225C32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B911A4" w:rsidRPr="00B911A4" w:rsidRDefault="00B911A4" w:rsidP="00B25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8" w:type="dxa"/>
            <w:noWrap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1A4" w:rsidRPr="00B911A4" w:rsidTr="00B2506A">
        <w:trPr>
          <w:trHeight w:val="255"/>
        </w:trPr>
        <w:tc>
          <w:tcPr>
            <w:tcW w:w="13500" w:type="dxa"/>
            <w:gridSpan w:val="9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главного администратора бюджетных средств:</w:t>
            </w: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C4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Глава по БК </w:t>
            </w:r>
          </w:p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noWrap/>
          </w:tcPr>
          <w:p w:rsidR="00225C32" w:rsidRPr="00225C32" w:rsidRDefault="00225C32" w:rsidP="00BC4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11A4" w:rsidRPr="00225C32" w:rsidRDefault="00B911A4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1A4" w:rsidRPr="00B911A4" w:rsidTr="00B2506A">
        <w:trPr>
          <w:trHeight w:val="255"/>
        </w:trPr>
        <w:tc>
          <w:tcPr>
            <w:tcW w:w="13500" w:type="dxa"/>
            <w:gridSpan w:val="9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бюджета:</w:t>
            </w: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C4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по ОКТМО</w:t>
            </w:r>
          </w:p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BC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68" w:type="dxa"/>
            <w:vMerge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1A4" w:rsidRPr="00B911A4" w:rsidTr="00B2506A">
        <w:trPr>
          <w:trHeight w:val="255"/>
        </w:trPr>
        <w:tc>
          <w:tcPr>
            <w:tcW w:w="7560" w:type="dxa"/>
            <w:gridSpan w:val="5"/>
            <w:noWrap/>
          </w:tcPr>
          <w:p w:rsidR="00BC451B" w:rsidRPr="00B911A4" w:rsidRDefault="00B911A4" w:rsidP="00BC45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подразделения, ответственного за выполнение</w:t>
            </w:r>
            <w:r w:rsidR="00BC451B"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внутренних бюджетных процедур:     </w:t>
            </w:r>
          </w:p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6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B911A4" w:rsidRPr="00B911A4" w:rsidRDefault="00B911A4" w:rsidP="00B25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B911A4" w:rsidRPr="00B911A4" w:rsidRDefault="00B911A4" w:rsidP="00B250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11A4" w:rsidRPr="00B911A4" w:rsidTr="00B2506A">
        <w:trPr>
          <w:trHeight w:val="255"/>
        </w:trPr>
        <w:tc>
          <w:tcPr>
            <w:tcW w:w="13500" w:type="dxa"/>
            <w:gridSpan w:val="9"/>
            <w:noWrap/>
          </w:tcPr>
          <w:p w:rsidR="00B911A4" w:rsidRPr="00BC451B" w:rsidRDefault="00BC451B" w:rsidP="00BC451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внутренней бюджетной процедуры</w:t>
            </w:r>
          </w:p>
        </w:tc>
        <w:tc>
          <w:tcPr>
            <w:tcW w:w="1368" w:type="dxa"/>
            <w:noWrap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11A4" w:rsidRPr="00B911A4" w:rsidRDefault="00B911A4" w:rsidP="00BC451B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080"/>
        <w:gridCol w:w="1800"/>
        <w:gridCol w:w="1800"/>
        <w:gridCol w:w="1980"/>
        <w:gridCol w:w="1440"/>
        <w:gridCol w:w="1440"/>
        <w:gridCol w:w="1308"/>
      </w:tblGrid>
      <w:tr w:rsidR="00B911A4" w:rsidRPr="00B911A4" w:rsidTr="00B911A4">
        <w:trPr>
          <w:trHeight w:val="360"/>
        </w:trPr>
        <w:tc>
          <w:tcPr>
            <w:tcW w:w="1980" w:type="dxa"/>
            <w:vMerge w:val="restart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3960" w:type="dxa"/>
            <w:gridSpan w:val="2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911A4" w:rsidRPr="00BC451B" w:rsidRDefault="00B911A4" w:rsidP="00B2506A">
            <w:pPr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Срок выполнения операции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Характеристики контрольного действия</w:t>
            </w:r>
          </w:p>
        </w:tc>
      </w:tr>
      <w:tr w:rsidR="00B911A4" w:rsidRPr="00B911A4" w:rsidTr="00B911A4">
        <w:trPr>
          <w:trHeight w:val="1260"/>
        </w:trPr>
        <w:tc>
          <w:tcPr>
            <w:tcW w:w="1980" w:type="dxa"/>
            <w:vMerge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00" w:type="dxa"/>
            <w:vMerge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440" w:type="dxa"/>
            <w:shd w:val="clear" w:color="auto" w:fill="auto"/>
          </w:tcPr>
          <w:p w:rsidR="00B911A4" w:rsidRPr="00BC451B" w:rsidRDefault="00B911A4" w:rsidP="00B250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Контрольное действие</w:t>
            </w:r>
          </w:p>
        </w:tc>
        <w:tc>
          <w:tcPr>
            <w:tcW w:w="1308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Вид/</w:t>
            </w:r>
          </w:p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</w:tr>
      <w:tr w:rsidR="00B911A4" w:rsidRPr="00B911A4" w:rsidTr="00B911A4">
        <w:trPr>
          <w:trHeight w:val="158"/>
        </w:trPr>
        <w:tc>
          <w:tcPr>
            <w:tcW w:w="198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911A4" w:rsidRPr="00BC451B" w:rsidRDefault="00B911A4" w:rsidP="00B250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B911A4" w:rsidRPr="00BC451B" w:rsidRDefault="00B911A4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11A4" w:rsidRPr="00B911A4" w:rsidTr="00B911A4">
        <w:trPr>
          <w:trHeight w:val="332"/>
        </w:trPr>
        <w:tc>
          <w:tcPr>
            <w:tcW w:w="1980" w:type="dxa"/>
            <w:shd w:val="clear" w:color="auto" w:fill="auto"/>
          </w:tcPr>
          <w:p w:rsidR="00BC451B" w:rsidRPr="00B911A4" w:rsidRDefault="00BC451B" w:rsidP="00BC4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BC451B" w:rsidRPr="00B911A4" w:rsidRDefault="00BC451B" w:rsidP="00BC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1A4" w:rsidRPr="00B911A4" w:rsidRDefault="00B911A4" w:rsidP="00B250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B911A4" w:rsidRPr="00B911A4" w:rsidRDefault="00B911A4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9D2" w:rsidRPr="00BC451B" w:rsidRDefault="00BC451B" w:rsidP="00BC45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внутренней бюджетной процедуры</w:t>
      </w: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080"/>
        <w:gridCol w:w="1800"/>
        <w:gridCol w:w="1800"/>
        <w:gridCol w:w="1980"/>
        <w:gridCol w:w="1440"/>
        <w:gridCol w:w="1440"/>
        <w:gridCol w:w="1308"/>
      </w:tblGrid>
      <w:tr w:rsidR="00BC451B" w:rsidRPr="00BC451B" w:rsidTr="00B2506A">
        <w:trPr>
          <w:trHeight w:val="360"/>
        </w:trPr>
        <w:tc>
          <w:tcPr>
            <w:tcW w:w="1980" w:type="dxa"/>
            <w:vMerge w:val="restart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3960" w:type="dxa"/>
            <w:gridSpan w:val="2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C451B" w:rsidRPr="00BC451B" w:rsidRDefault="00BC451B" w:rsidP="00B2506A">
            <w:pPr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Срок выполнения операции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Характеристики контрольного действия</w:t>
            </w:r>
          </w:p>
        </w:tc>
      </w:tr>
      <w:tr w:rsidR="00BC451B" w:rsidRPr="00BC451B" w:rsidTr="00B2506A">
        <w:trPr>
          <w:trHeight w:val="1260"/>
        </w:trPr>
        <w:tc>
          <w:tcPr>
            <w:tcW w:w="1980" w:type="dxa"/>
            <w:vMerge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00" w:type="dxa"/>
            <w:vMerge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440" w:type="dxa"/>
            <w:shd w:val="clear" w:color="auto" w:fill="auto"/>
          </w:tcPr>
          <w:p w:rsidR="00BC451B" w:rsidRPr="00BC451B" w:rsidRDefault="00BC451B" w:rsidP="00B250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Контрольное действие</w:t>
            </w:r>
          </w:p>
        </w:tc>
        <w:tc>
          <w:tcPr>
            <w:tcW w:w="1308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Вид/</w:t>
            </w:r>
          </w:p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</w:tr>
      <w:tr w:rsidR="00BC451B" w:rsidRPr="00BC451B" w:rsidTr="00B2506A">
        <w:trPr>
          <w:trHeight w:val="158"/>
        </w:trPr>
        <w:tc>
          <w:tcPr>
            <w:tcW w:w="198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451B" w:rsidRPr="00BC451B" w:rsidRDefault="00BC451B" w:rsidP="00B250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BC451B" w:rsidRPr="00BC451B" w:rsidRDefault="00BC451B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451B" w:rsidRPr="00B911A4" w:rsidTr="00B2506A">
        <w:trPr>
          <w:trHeight w:val="332"/>
        </w:trPr>
        <w:tc>
          <w:tcPr>
            <w:tcW w:w="1980" w:type="dxa"/>
            <w:shd w:val="clear" w:color="auto" w:fill="auto"/>
          </w:tcPr>
          <w:p w:rsidR="00BC451B" w:rsidRPr="00B911A4" w:rsidRDefault="00BC451B" w:rsidP="00B2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BC451B" w:rsidRPr="00B911A4" w:rsidRDefault="00BC451B" w:rsidP="00B2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C451B" w:rsidRPr="00B911A4" w:rsidRDefault="00BC451B" w:rsidP="00B250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BC451B" w:rsidRPr="00B911A4" w:rsidRDefault="00BC451B" w:rsidP="00B2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департамента    ____________________       ________________________</w:t>
      </w:r>
    </w:p>
    <w:p w:rsidR="00BC451B" w:rsidRPr="00AF36B8" w:rsidRDefault="00BC451B" w:rsidP="00BC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36B8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6B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C451B" w:rsidRPr="00AF36B8" w:rsidRDefault="00BC451B" w:rsidP="00BC451B">
      <w:pPr>
        <w:rPr>
          <w:rFonts w:ascii="Times New Roman" w:hAnsi="Times New Roman" w:cs="Times New Roman"/>
          <w:sz w:val="24"/>
          <w:szCs w:val="24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____________________       ________________________</w:t>
      </w:r>
    </w:p>
    <w:p w:rsidR="00BC451B" w:rsidRPr="00AF36B8" w:rsidRDefault="00BC451B" w:rsidP="00BC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36B8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36B8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«______»__________________20____ год.</w:t>
      </w: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</w:p>
    <w:p w:rsidR="00BC451B" w:rsidRDefault="00BC451B" w:rsidP="00BC451B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250BA9" w:rsidRDefault="00250BA9" w:rsidP="00250BA9">
      <w:pPr>
        <w:widowControl w:val="0"/>
        <w:autoSpaceDE w:val="0"/>
        <w:autoSpaceDN w:val="0"/>
        <w:adjustRightInd w:val="0"/>
        <w:ind w:left="8355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к положению об</w:t>
      </w:r>
      <w:r w:rsidRPr="006B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250BA9" w:rsidRDefault="00250BA9" w:rsidP="00250BA9">
      <w:pPr>
        <w:widowControl w:val="0"/>
        <w:autoSpaceDE w:val="0"/>
        <w:autoSpaceDN w:val="0"/>
        <w:adjustRightInd w:val="0"/>
        <w:ind w:left="6939" w:firstLine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 департаменте по физической культуре и спорту</w:t>
      </w:r>
    </w:p>
    <w:p w:rsidR="00250BA9" w:rsidRPr="006B79D2" w:rsidRDefault="00250BA9" w:rsidP="00250BA9">
      <w:pPr>
        <w:widowControl w:val="0"/>
        <w:autoSpaceDE w:val="0"/>
        <w:autoSpaceDN w:val="0"/>
        <w:adjustRightInd w:val="0"/>
        <w:ind w:left="84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Липецка внутреннего  финансового контроля</w:t>
      </w:r>
    </w:p>
    <w:p w:rsidR="006B79D2" w:rsidRPr="00B911A4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1486"/>
        <w:gridCol w:w="2834"/>
        <w:gridCol w:w="900"/>
        <w:gridCol w:w="1800"/>
        <w:gridCol w:w="540"/>
        <w:gridCol w:w="1706"/>
        <w:gridCol w:w="1031"/>
        <w:gridCol w:w="1943"/>
        <w:gridCol w:w="1051"/>
        <w:gridCol w:w="1577"/>
      </w:tblGrid>
      <w:tr w:rsidR="00250BA9" w:rsidRPr="00250BA9" w:rsidTr="00B2506A">
        <w:trPr>
          <w:trHeight w:val="255"/>
        </w:trPr>
        <w:tc>
          <w:tcPr>
            <w:tcW w:w="148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УЧЕТА РЕЗУЛЬТАТОВ  ВНУТРЕННЕГО ФИНАНСОВОГО КОНТРОЛЯ</w:t>
            </w:r>
          </w:p>
        </w:tc>
      </w:tr>
      <w:tr w:rsidR="00250BA9" w:rsidRPr="00250BA9" w:rsidTr="00B2506A">
        <w:trPr>
          <w:trHeight w:val="255"/>
        </w:trPr>
        <w:tc>
          <w:tcPr>
            <w:tcW w:w="148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________</w:t>
            </w:r>
            <w:r w:rsidRPr="00250B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250BA9" w:rsidRPr="00250BA9" w:rsidTr="00B2506A">
        <w:trPr>
          <w:trHeight w:val="255"/>
        </w:trPr>
        <w:tc>
          <w:tcPr>
            <w:tcW w:w="148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BA9" w:rsidRPr="00250BA9" w:rsidTr="00250BA9">
        <w:trPr>
          <w:trHeight w:val="255"/>
        </w:trPr>
        <w:tc>
          <w:tcPr>
            <w:tcW w:w="148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</w:rPr>
              <w:t xml:space="preserve">      Коды</w:t>
            </w:r>
          </w:p>
        </w:tc>
      </w:tr>
      <w:tr w:rsidR="00250BA9" w:rsidRPr="00250BA9" w:rsidTr="00250BA9">
        <w:trPr>
          <w:trHeight w:val="255"/>
        </w:trPr>
        <w:tc>
          <w:tcPr>
            <w:tcW w:w="148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noWrap/>
          </w:tcPr>
          <w:p w:rsidR="00250BA9" w:rsidRPr="00250BA9" w:rsidRDefault="00250BA9" w:rsidP="0025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7" w:type="dxa"/>
            <w:noWrap/>
          </w:tcPr>
          <w:p w:rsidR="00250BA9" w:rsidRPr="00250BA9" w:rsidRDefault="00250BA9" w:rsidP="00250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0BA9" w:rsidRPr="00250BA9" w:rsidTr="00250BA9">
        <w:trPr>
          <w:trHeight w:val="255"/>
        </w:trPr>
        <w:tc>
          <w:tcPr>
            <w:tcW w:w="13291" w:type="dxa"/>
            <w:gridSpan w:val="9"/>
            <w:noWrap/>
          </w:tcPr>
          <w:p w:rsidR="009A70C6" w:rsidRDefault="009A70C6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главного администратора бюджетных средств:</w:t>
            </w:r>
            <w:r w:rsidRPr="00250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9A70C6">
              <w:rPr>
                <w:rFonts w:ascii="Times New Roman" w:hAnsi="Times New Roman" w:cs="Times New Roman"/>
                <w:sz w:val="28"/>
                <w:szCs w:val="28"/>
              </w:rPr>
              <w:t xml:space="preserve">        Главы по БК</w:t>
            </w:r>
          </w:p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noWrap/>
          </w:tcPr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bCs/>
                <w:sz w:val="28"/>
                <w:szCs w:val="28"/>
              </w:rPr>
              <w:t>42701000</w:t>
            </w:r>
          </w:p>
        </w:tc>
      </w:tr>
      <w:tr w:rsidR="00250BA9" w:rsidRPr="00250BA9" w:rsidTr="00250BA9">
        <w:trPr>
          <w:trHeight w:val="255"/>
        </w:trPr>
        <w:tc>
          <w:tcPr>
            <w:tcW w:w="13291" w:type="dxa"/>
            <w:gridSpan w:val="9"/>
            <w:noWrap/>
          </w:tcPr>
          <w:p w:rsidR="00250BA9" w:rsidRPr="00250BA9" w:rsidRDefault="00250BA9" w:rsidP="009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бюджета:</w:t>
            </w:r>
            <w:r w:rsidRPr="00250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9A70C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272FF">
              <w:rPr>
                <w:rFonts w:ascii="Times New Roman" w:hAnsi="Times New Roman" w:cs="Times New Roman"/>
                <w:sz w:val="28"/>
                <w:szCs w:val="28"/>
              </w:rPr>
              <w:t xml:space="preserve"> по ОКТМО</w:t>
            </w:r>
            <w:r w:rsidRPr="00250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7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77" w:type="dxa"/>
            <w:vMerge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BA9" w:rsidRPr="00250BA9" w:rsidTr="00250BA9">
        <w:trPr>
          <w:trHeight w:val="255"/>
        </w:trPr>
        <w:tc>
          <w:tcPr>
            <w:tcW w:w="7560" w:type="dxa"/>
            <w:gridSpan w:val="5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подразделений, ответственных за выполнение</w:t>
            </w:r>
          </w:p>
        </w:tc>
        <w:tc>
          <w:tcPr>
            <w:tcW w:w="1706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noWrap/>
          </w:tcPr>
          <w:p w:rsidR="00250BA9" w:rsidRPr="00250BA9" w:rsidRDefault="00250BA9" w:rsidP="00B25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50BA9" w:rsidRPr="00250BA9" w:rsidRDefault="00250BA9" w:rsidP="00B250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BA9" w:rsidRPr="00250BA9" w:rsidTr="00250BA9">
        <w:trPr>
          <w:trHeight w:val="255"/>
        </w:trPr>
        <w:tc>
          <w:tcPr>
            <w:tcW w:w="13291" w:type="dxa"/>
            <w:gridSpan w:val="9"/>
            <w:noWrap/>
          </w:tcPr>
          <w:p w:rsidR="00250BA9" w:rsidRPr="004272FF" w:rsidRDefault="00250BA9" w:rsidP="00B25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0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внутренних бюджетных процедур:</w:t>
            </w:r>
          </w:p>
        </w:tc>
        <w:tc>
          <w:tcPr>
            <w:tcW w:w="1577" w:type="dxa"/>
            <w:noWrap/>
          </w:tcPr>
          <w:p w:rsidR="00250BA9" w:rsidRPr="00250BA9" w:rsidRDefault="00250BA9" w:rsidP="00B250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0BA9" w:rsidRPr="00250BA9" w:rsidRDefault="00250BA9" w:rsidP="004272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FF" w:rsidRPr="004272FF" w:rsidRDefault="004272FF" w:rsidP="004272FF">
      <w:pPr>
        <w:pStyle w:val="a3"/>
        <w:numPr>
          <w:ilvl w:val="0"/>
          <w:numId w:val="18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4272FF">
        <w:rPr>
          <w:rFonts w:ascii="Times New Roman" w:hAnsi="Times New Roman" w:cs="Times New Roman"/>
          <w:sz w:val="28"/>
          <w:szCs w:val="28"/>
        </w:rPr>
        <w:t>Наименование внутренней бюджетной процедуры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1260"/>
        <w:gridCol w:w="1620"/>
        <w:gridCol w:w="1620"/>
        <w:gridCol w:w="2340"/>
        <w:gridCol w:w="1800"/>
        <w:gridCol w:w="1440"/>
        <w:gridCol w:w="1614"/>
        <w:gridCol w:w="6"/>
        <w:gridCol w:w="1260"/>
      </w:tblGrid>
      <w:tr w:rsidR="004272FF" w:rsidRPr="00250BA9" w:rsidTr="004272FF">
        <w:trPr>
          <w:trHeight w:val="360"/>
        </w:trPr>
        <w:tc>
          <w:tcPr>
            <w:tcW w:w="900" w:type="dxa"/>
            <w:vMerge w:val="restart"/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noWrap/>
          </w:tcPr>
          <w:p w:rsidR="004272FF" w:rsidRPr="004272FF" w:rsidRDefault="004272FF" w:rsidP="0042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72FF" w:rsidRPr="004272FF" w:rsidRDefault="004272FF" w:rsidP="0042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Код контрольного действия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мероприятия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контрольного мероприятия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4272FF" w:rsidRPr="00250BA9" w:rsidTr="004272FF">
        <w:trPr>
          <w:trHeight w:val="1126"/>
        </w:trPr>
        <w:tc>
          <w:tcPr>
            <w:tcW w:w="90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2FF" w:rsidRPr="00250BA9" w:rsidTr="004272FF">
        <w:trPr>
          <w:trHeight w:val="91"/>
        </w:trPr>
        <w:tc>
          <w:tcPr>
            <w:tcW w:w="90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2FF" w:rsidRPr="00250BA9" w:rsidTr="00B2506A">
        <w:trPr>
          <w:trHeight w:val="1020"/>
        </w:trPr>
        <w:tc>
          <w:tcPr>
            <w:tcW w:w="90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272FF" w:rsidRPr="004272FF" w:rsidRDefault="004272FF" w:rsidP="0042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2FF" w:rsidRPr="004272FF" w:rsidRDefault="004272FF" w:rsidP="004272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72FF">
        <w:rPr>
          <w:rFonts w:ascii="Times New Roman" w:hAnsi="Times New Roman" w:cs="Times New Roman"/>
          <w:sz w:val="28"/>
          <w:szCs w:val="28"/>
        </w:rPr>
        <w:t>Наименование внутренней бюджетной процедуры</w:t>
      </w:r>
    </w:p>
    <w:p w:rsidR="006B79D2" w:rsidRPr="00250BA9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1260"/>
        <w:gridCol w:w="1620"/>
        <w:gridCol w:w="1620"/>
        <w:gridCol w:w="2340"/>
        <w:gridCol w:w="1800"/>
        <w:gridCol w:w="1440"/>
        <w:gridCol w:w="1620"/>
        <w:gridCol w:w="1260"/>
      </w:tblGrid>
      <w:tr w:rsidR="004272FF" w:rsidRPr="004272FF" w:rsidTr="004272FF">
        <w:trPr>
          <w:trHeight w:val="360"/>
        </w:trPr>
        <w:tc>
          <w:tcPr>
            <w:tcW w:w="900" w:type="dxa"/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26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Код контрольного действия</w:t>
            </w:r>
          </w:p>
        </w:tc>
        <w:tc>
          <w:tcPr>
            <w:tcW w:w="162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62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234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мероприятия</w:t>
            </w:r>
          </w:p>
        </w:tc>
        <w:tc>
          <w:tcPr>
            <w:tcW w:w="180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контрольного мероприятия</w:t>
            </w:r>
          </w:p>
        </w:tc>
        <w:tc>
          <w:tcPr>
            <w:tcW w:w="144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62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6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FF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4272FF" w:rsidRPr="004272FF" w:rsidTr="004272FF">
        <w:trPr>
          <w:trHeight w:val="360"/>
        </w:trPr>
        <w:tc>
          <w:tcPr>
            <w:tcW w:w="900" w:type="dxa"/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72FF" w:rsidRPr="004272FF" w:rsidRDefault="004272FF" w:rsidP="00B2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D2" w:rsidRPr="00250BA9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Default="004272FF" w:rsidP="004F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журнале пронумеровано и прошнуровано  _____ листов.</w:t>
      </w:r>
    </w:p>
    <w:p w:rsidR="004272FF" w:rsidRDefault="004272FF" w:rsidP="004F55DD">
      <w:pPr>
        <w:rPr>
          <w:rFonts w:ascii="Times New Roman" w:hAnsi="Times New Roman" w:cs="Times New Roman"/>
          <w:sz w:val="28"/>
          <w:szCs w:val="28"/>
        </w:rPr>
      </w:pPr>
    </w:p>
    <w:p w:rsidR="004272FF" w:rsidRDefault="004272FF" w:rsidP="004F55DD">
      <w:pPr>
        <w:rPr>
          <w:rFonts w:ascii="Times New Roman" w:hAnsi="Times New Roman" w:cs="Times New Roman"/>
          <w:sz w:val="28"/>
          <w:szCs w:val="28"/>
        </w:rPr>
      </w:pPr>
    </w:p>
    <w:p w:rsidR="004272FF" w:rsidRPr="00250BA9" w:rsidRDefault="004272FF" w:rsidP="004F55DD">
      <w:pPr>
        <w:rPr>
          <w:rFonts w:ascii="Times New Roman" w:hAnsi="Times New Roman" w:cs="Times New Roman"/>
          <w:sz w:val="28"/>
          <w:szCs w:val="28"/>
        </w:rPr>
      </w:pP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____________________       ________________________</w:t>
      </w:r>
    </w:p>
    <w:p w:rsidR="004272FF" w:rsidRPr="00AF36B8" w:rsidRDefault="004272FF" w:rsidP="0042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36B8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36B8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«______»__________________20____ год.</w:t>
      </w:r>
    </w:p>
    <w:p w:rsidR="004272FF" w:rsidRDefault="004272FF" w:rsidP="004272FF">
      <w:pPr>
        <w:rPr>
          <w:rFonts w:ascii="Times New Roman" w:hAnsi="Times New Roman" w:cs="Times New Roman"/>
          <w:sz w:val="28"/>
          <w:szCs w:val="28"/>
        </w:rPr>
      </w:pPr>
    </w:p>
    <w:p w:rsidR="006B79D2" w:rsidRPr="00250BA9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6B79D2" w:rsidRPr="00250BA9" w:rsidRDefault="006B79D2" w:rsidP="004F55DD">
      <w:pPr>
        <w:rPr>
          <w:rFonts w:ascii="Times New Roman" w:hAnsi="Times New Roman" w:cs="Times New Roman"/>
          <w:sz w:val="28"/>
          <w:szCs w:val="28"/>
        </w:rPr>
      </w:pPr>
    </w:p>
    <w:p w:rsidR="00AE2DCC" w:rsidRDefault="00AE2DCC" w:rsidP="002714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AE2DCC" w:rsidSect="004F55DD">
          <w:pgSz w:w="16838" w:h="11906" w:orient="landscape"/>
          <w:pgMar w:top="1134" w:right="567" w:bottom="1134" w:left="1418" w:header="720" w:footer="720" w:gutter="0"/>
          <w:cols w:space="720"/>
          <w:docGrid w:linePitch="272"/>
        </w:sectPr>
      </w:pPr>
    </w:p>
    <w:p w:rsidR="00A10172" w:rsidRDefault="00A10172" w:rsidP="00AE2DCC">
      <w:pPr>
        <w:rPr>
          <w:rFonts w:ascii="Times New Roman" w:hAnsi="Times New Roman" w:cs="Times New Roman"/>
          <w:sz w:val="28"/>
          <w:szCs w:val="28"/>
        </w:rPr>
        <w:sectPr w:rsidR="00A10172">
          <w:type w:val="continuous"/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AE2DCC" w:rsidRDefault="00AE2DCC" w:rsidP="00AE2DCC">
      <w:pPr>
        <w:rPr>
          <w:rFonts w:ascii="Times New Roman" w:hAnsi="Times New Roman" w:cs="Times New Roman"/>
          <w:sz w:val="24"/>
          <w:szCs w:val="24"/>
        </w:rPr>
        <w:sectPr w:rsidR="00AE2DCC">
          <w:pgSz w:w="11906" w:h="16838"/>
          <w:pgMar w:top="851" w:right="567" w:bottom="851" w:left="1134" w:header="709" w:footer="709" w:gutter="0"/>
          <w:cols w:space="720"/>
        </w:sectPr>
      </w:pPr>
    </w:p>
    <w:p w:rsidR="00AE2DCC" w:rsidRDefault="00AE2DCC" w:rsidP="00264B3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AE2DCC">
          <w:pgSz w:w="11906" w:h="16838"/>
          <w:pgMar w:top="851" w:right="567" w:bottom="851" w:left="1134" w:header="709" w:footer="709" w:gutter="0"/>
          <w:cols w:space="720"/>
        </w:sectPr>
      </w:pPr>
    </w:p>
    <w:p w:rsidR="00B0133E" w:rsidRDefault="00B0133E" w:rsidP="0047448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8D387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B0133E" w:rsidRDefault="00B0133E" w:rsidP="00B0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3E" w:rsidRDefault="00B0133E" w:rsidP="00B0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культуре и спорту администрации</w:t>
      </w:r>
    </w:p>
    <w:p w:rsidR="00B0133E" w:rsidRDefault="00B0133E" w:rsidP="00B0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Липецка</w:t>
      </w:r>
    </w:p>
    <w:p w:rsidR="00B0133E" w:rsidRDefault="008D3878" w:rsidP="00B0133E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  28.11.2018  № 399</w:t>
      </w:r>
    </w:p>
    <w:p w:rsidR="00EE7FC7" w:rsidRDefault="00EE7FC7" w:rsidP="00EE7FC7">
      <w:pPr>
        <w:rPr>
          <w:rFonts w:ascii="Times New Roman" w:hAnsi="Times New Roman" w:cs="Times New Roman"/>
          <w:sz w:val="28"/>
          <w:szCs w:val="28"/>
        </w:rPr>
      </w:pPr>
    </w:p>
    <w:p w:rsidR="00264B32" w:rsidRDefault="00264B32" w:rsidP="00B0133E">
      <w:pPr>
        <w:contextualSpacing/>
        <w:rPr>
          <w:rFonts w:ascii="Times New Roman" w:hAnsi="Times New Roman" w:cs="Times New Roman"/>
          <w:sz w:val="28"/>
        </w:rPr>
      </w:pPr>
    </w:p>
    <w:p w:rsidR="00494C8B" w:rsidRDefault="00494C8B" w:rsidP="00F75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133E" w:rsidRDefault="00B0133E" w:rsidP="00F75D5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</w:t>
      </w:r>
      <w:r w:rsidR="00F75D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должностных лиц, уполномоченных осуществлять внутренний</w:t>
      </w:r>
    </w:p>
    <w:p w:rsidR="00B0133E" w:rsidRDefault="00B0133E" w:rsidP="00F75D5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финансовый контроль в отношении подведомственных получателей средств городского</w:t>
      </w:r>
      <w:r w:rsidR="00F75D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бюджета</w:t>
      </w:r>
    </w:p>
    <w:p w:rsidR="00B0133E" w:rsidRDefault="00B0133E" w:rsidP="00B013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33E" w:rsidRDefault="00B0133E" w:rsidP="00B013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D5C" w:rsidRPr="00F75D5C" w:rsidRDefault="00F75D5C" w:rsidP="00F75D5C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F75D5C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F75D5C">
        <w:rPr>
          <w:rFonts w:ascii="Times New Roman" w:hAnsi="Times New Roman"/>
          <w:sz w:val="28"/>
          <w:szCs w:val="28"/>
        </w:rPr>
        <w:t xml:space="preserve"> ресурсного обеспечения – Хрущева С.И.</w:t>
      </w:r>
    </w:p>
    <w:p w:rsidR="00F75D5C" w:rsidRDefault="00F75D5C" w:rsidP="00494C8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консультант отдела ресурсного обеспечения  – </w:t>
      </w:r>
      <w:proofErr w:type="spellStart"/>
      <w:r>
        <w:rPr>
          <w:rFonts w:ascii="Times New Roman" w:hAnsi="Times New Roman"/>
          <w:sz w:val="28"/>
          <w:szCs w:val="28"/>
        </w:rPr>
        <w:t>Фаворова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</w:t>
      </w:r>
    </w:p>
    <w:p w:rsidR="00F75D5C" w:rsidRDefault="00F75D5C" w:rsidP="00494C8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7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отдела ресурсного обеспечения – </w:t>
      </w:r>
      <w:proofErr w:type="spellStart"/>
      <w:r>
        <w:rPr>
          <w:rFonts w:ascii="Times New Roman" w:hAnsi="Times New Roman"/>
          <w:sz w:val="28"/>
          <w:szCs w:val="28"/>
        </w:rPr>
        <w:t>Налетова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</w:t>
      </w:r>
    </w:p>
    <w:p w:rsidR="00F75D5C" w:rsidRDefault="00F75D5C" w:rsidP="00494C8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E2DCC" w:rsidRPr="00494C8B" w:rsidRDefault="00AE2DCC" w:rsidP="00494C8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E2DCC" w:rsidRDefault="00AE2DCC" w:rsidP="00AE2DC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C5" w:rsidRPr="00F25F0E" w:rsidRDefault="000161C5" w:rsidP="000161C5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161C5" w:rsidRPr="002112BC" w:rsidRDefault="000161C5" w:rsidP="000161C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7" w:rsidRPr="00503879" w:rsidRDefault="002553D7" w:rsidP="005038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3D7" w:rsidRPr="00503879" w:rsidSect="0050387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25"/>
    <w:multiLevelType w:val="hybridMultilevel"/>
    <w:tmpl w:val="4B02F60E"/>
    <w:lvl w:ilvl="0" w:tplc="26DE76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trike w:val="0"/>
        <w:dstrike w:val="0"/>
        <w:u w:val="none" w:color="FFFFFF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BB0"/>
    <w:multiLevelType w:val="hybridMultilevel"/>
    <w:tmpl w:val="E208C764"/>
    <w:lvl w:ilvl="0" w:tplc="68B68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51F1C"/>
    <w:multiLevelType w:val="multilevel"/>
    <w:tmpl w:val="6B200D08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644" w:hanging="1800"/>
      </w:p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</w:lvl>
    <w:lvl w:ilvl="8">
      <w:start w:val="1"/>
      <w:numFmt w:val="decimal"/>
      <w:isLgl/>
      <w:lvlText w:val="%1.%2.%3.%4.%5.%6.%7.%8.%9."/>
      <w:lvlJc w:val="left"/>
      <w:pPr>
        <w:ind w:left="4288" w:hanging="2160"/>
      </w:pPr>
    </w:lvl>
  </w:abstractNum>
  <w:abstractNum w:abstractNumId="3">
    <w:nsid w:val="10B80A0B"/>
    <w:multiLevelType w:val="multilevel"/>
    <w:tmpl w:val="F68E65F2"/>
    <w:lvl w:ilvl="0">
      <w:start w:val="1"/>
      <w:numFmt w:val="bullet"/>
      <w:lvlText w:val="-"/>
      <w:lvlJc w:val="left"/>
      <w:pPr>
        <w:ind w:left="450" w:hanging="450"/>
      </w:pPr>
      <w:rPr>
        <w:rFonts w:ascii="Courier New" w:hAnsi="Courier New" w:cs="Times New Roman" w:hint="default"/>
        <w:strike w:val="0"/>
        <w:dstrike w:val="0"/>
        <w:u w:val="none" w:color="FFFFFF"/>
        <w:effect w:val="none"/>
      </w:r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4">
    <w:nsid w:val="183C61D3"/>
    <w:multiLevelType w:val="hybridMultilevel"/>
    <w:tmpl w:val="38DE1514"/>
    <w:lvl w:ilvl="0" w:tplc="68B68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125DB0"/>
    <w:multiLevelType w:val="hybridMultilevel"/>
    <w:tmpl w:val="3B1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F09"/>
    <w:multiLevelType w:val="hybridMultilevel"/>
    <w:tmpl w:val="416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0724"/>
    <w:multiLevelType w:val="hybridMultilevel"/>
    <w:tmpl w:val="5E4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C0A3E"/>
    <w:multiLevelType w:val="hybridMultilevel"/>
    <w:tmpl w:val="5E4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4255"/>
    <w:multiLevelType w:val="hybridMultilevel"/>
    <w:tmpl w:val="033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E67D8"/>
    <w:multiLevelType w:val="hybridMultilevel"/>
    <w:tmpl w:val="C50E58B0"/>
    <w:lvl w:ilvl="0" w:tplc="A1CED0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5067C"/>
    <w:multiLevelType w:val="multilevel"/>
    <w:tmpl w:val="03EA875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abstractNum w:abstractNumId="12">
    <w:nsid w:val="5C4B68B2"/>
    <w:multiLevelType w:val="hybridMultilevel"/>
    <w:tmpl w:val="3B1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619B7"/>
    <w:multiLevelType w:val="multilevel"/>
    <w:tmpl w:val="7C9003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4">
    <w:nsid w:val="76F85A44"/>
    <w:multiLevelType w:val="hybridMultilevel"/>
    <w:tmpl w:val="F49453EC"/>
    <w:lvl w:ilvl="0" w:tplc="3496C6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83C5A"/>
    <w:multiLevelType w:val="multilevel"/>
    <w:tmpl w:val="359C0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4"/>
    <w:rsid w:val="000161C5"/>
    <w:rsid w:val="00066853"/>
    <w:rsid w:val="001152A4"/>
    <w:rsid w:val="001C2588"/>
    <w:rsid w:val="00225C32"/>
    <w:rsid w:val="00250BA9"/>
    <w:rsid w:val="002553D7"/>
    <w:rsid w:val="00264B32"/>
    <w:rsid w:val="002714CB"/>
    <w:rsid w:val="00291C37"/>
    <w:rsid w:val="003D1BBA"/>
    <w:rsid w:val="004272FF"/>
    <w:rsid w:val="00450C97"/>
    <w:rsid w:val="0047448D"/>
    <w:rsid w:val="00484F47"/>
    <w:rsid w:val="00494C8B"/>
    <w:rsid w:val="004F55DD"/>
    <w:rsid w:val="00503879"/>
    <w:rsid w:val="0056672E"/>
    <w:rsid w:val="005D2F0D"/>
    <w:rsid w:val="006B79D2"/>
    <w:rsid w:val="00701FA6"/>
    <w:rsid w:val="00710B68"/>
    <w:rsid w:val="00830BDA"/>
    <w:rsid w:val="008D3878"/>
    <w:rsid w:val="008D432E"/>
    <w:rsid w:val="009431AD"/>
    <w:rsid w:val="00997688"/>
    <w:rsid w:val="009A70C6"/>
    <w:rsid w:val="009B43CF"/>
    <w:rsid w:val="00A10172"/>
    <w:rsid w:val="00A32825"/>
    <w:rsid w:val="00A373F5"/>
    <w:rsid w:val="00A55581"/>
    <w:rsid w:val="00AE2DCC"/>
    <w:rsid w:val="00AF36B8"/>
    <w:rsid w:val="00B0133E"/>
    <w:rsid w:val="00B2506A"/>
    <w:rsid w:val="00B911A4"/>
    <w:rsid w:val="00BA15BC"/>
    <w:rsid w:val="00BC451B"/>
    <w:rsid w:val="00BF350A"/>
    <w:rsid w:val="00C23CEB"/>
    <w:rsid w:val="00C43729"/>
    <w:rsid w:val="00EA7BC4"/>
    <w:rsid w:val="00EE7FC7"/>
    <w:rsid w:val="00F17D9D"/>
    <w:rsid w:val="00F458EC"/>
    <w:rsid w:val="00F67D53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DCC"/>
    <w:pPr>
      <w:ind w:left="720"/>
      <w:contextualSpacing/>
    </w:pPr>
  </w:style>
  <w:style w:type="paragraph" w:customStyle="1" w:styleId="ConsPlusNonformat">
    <w:name w:val="ConsPlusNonformat"/>
    <w:rsid w:val="00AE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A7BC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DCC"/>
    <w:pPr>
      <w:ind w:left="720"/>
      <w:contextualSpacing/>
    </w:pPr>
  </w:style>
  <w:style w:type="paragraph" w:customStyle="1" w:styleId="ConsPlusNonformat">
    <w:name w:val="ConsPlusNonformat"/>
    <w:rsid w:val="00AE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A7BC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3907-1DCA-4E9D-A23A-1C024F6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2018-07-13T07:40:00Z</cp:lastPrinted>
  <dcterms:created xsi:type="dcterms:W3CDTF">2015-12-30T09:37:00Z</dcterms:created>
  <dcterms:modified xsi:type="dcterms:W3CDTF">2018-12-21T11:32:00Z</dcterms:modified>
</cp:coreProperties>
</file>